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80" w:lineRule="auto"/>
        <w:ind w:firstLine="480"/>
        <w:jc w:val="center"/>
        <w:rPr>
          <w:rFonts w:hint="eastAsia"/>
          <w:color w:val="333333"/>
        </w:rPr>
      </w:pPr>
      <w:bookmarkStart w:id="0" w:name="_GoBack"/>
      <w:r>
        <w:rPr>
          <w:rFonts w:hint="eastAsia" w:ascii="黑体" w:hAnsi="黑体" w:eastAsia="黑体"/>
          <w:color w:val="333333"/>
          <w:sz w:val="44"/>
          <w:szCs w:val="44"/>
        </w:rPr>
        <w:t>湖南省房屋建筑和市政基础设施</w:t>
      </w:r>
    </w:p>
    <w:p>
      <w:pPr>
        <w:pStyle w:val="2"/>
        <w:spacing w:line="480" w:lineRule="auto"/>
        <w:ind w:firstLine="480"/>
        <w:jc w:val="center"/>
        <w:rPr>
          <w:color w:val="333333"/>
        </w:rPr>
      </w:pPr>
      <w:r>
        <w:rPr>
          <w:rFonts w:hint="eastAsia" w:ascii="黑体" w:hAnsi="黑体" w:eastAsia="黑体"/>
          <w:color w:val="333333"/>
          <w:sz w:val="44"/>
          <w:szCs w:val="44"/>
        </w:rPr>
        <w:t>工程施工投标报价成本评审暂行办法</w:t>
      </w:r>
    </w:p>
    <w:bookmarkEnd w:id="0"/>
    <w:p>
      <w:pPr>
        <w:pStyle w:val="2"/>
        <w:spacing w:line="480" w:lineRule="auto"/>
        <w:ind w:firstLine="480"/>
        <w:jc w:val="both"/>
        <w:rPr>
          <w:color w:val="333333"/>
        </w:rPr>
      </w:pPr>
      <w:r>
        <w:rPr>
          <w:rFonts w:hint="eastAsia"/>
          <w:b/>
          <w:bCs/>
          <w:color w:val="333333"/>
        </w:rPr>
        <w:t>第一条</w:t>
      </w:r>
      <w:r>
        <w:rPr>
          <w:color w:val="333333"/>
        </w:rPr>
        <w:t>  </w:t>
      </w:r>
      <w:r>
        <w:rPr>
          <w:rFonts w:hint="eastAsia"/>
          <w:color w:val="333333"/>
        </w:rPr>
        <w:t>为健全和完善我省房屋建筑和市政基础设施工程施工招标投标报价评审分析机制，防范恶意低价竞标行为，保障工程质量安全，根据《中华人民共和国招标投标法》及其实施条例、《建筑工程施工发包与承包计价管理办法》等法律法规和规范标准，制定本办法。</w:t>
      </w:r>
    </w:p>
    <w:p>
      <w:pPr>
        <w:pStyle w:val="2"/>
        <w:spacing w:line="480" w:lineRule="auto"/>
        <w:ind w:firstLine="480"/>
        <w:jc w:val="both"/>
        <w:rPr>
          <w:color w:val="333333"/>
        </w:rPr>
      </w:pPr>
      <w:r>
        <w:rPr>
          <w:rFonts w:hint="eastAsia"/>
          <w:b/>
          <w:bCs/>
          <w:color w:val="333333"/>
        </w:rPr>
        <w:t>第二条</w:t>
      </w:r>
      <w:r>
        <w:rPr>
          <w:color w:val="333333"/>
        </w:rPr>
        <w:t>  </w:t>
      </w:r>
      <w:r>
        <w:rPr>
          <w:rFonts w:hint="eastAsia"/>
          <w:color w:val="333333"/>
        </w:rPr>
        <w:t>本办法所称的成本评审是指根据《湖南省房屋建筑和市政基础设施工程施工招标评标暂行办法》第三十一条的规定，对低于报价评审警戒线的投标报价作进一步评审、比较。</w:t>
      </w:r>
    </w:p>
    <w:p>
      <w:pPr>
        <w:pStyle w:val="2"/>
        <w:spacing w:line="480" w:lineRule="auto"/>
        <w:ind w:firstLine="480"/>
        <w:jc w:val="both"/>
        <w:rPr>
          <w:color w:val="333333"/>
        </w:rPr>
      </w:pPr>
      <w:r>
        <w:rPr>
          <w:rFonts w:hint="eastAsia"/>
          <w:color w:val="333333"/>
        </w:rPr>
        <w:t>未低于报价评审警戒线的投标报价不再按本办法进行评审。</w:t>
      </w:r>
    </w:p>
    <w:p>
      <w:pPr>
        <w:pStyle w:val="2"/>
        <w:spacing w:line="480" w:lineRule="auto"/>
        <w:ind w:firstLine="480"/>
        <w:jc w:val="both"/>
        <w:rPr>
          <w:color w:val="333333"/>
        </w:rPr>
      </w:pPr>
      <w:r>
        <w:rPr>
          <w:rFonts w:hint="eastAsia"/>
          <w:b/>
          <w:bCs/>
          <w:color w:val="333333"/>
        </w:rPr>
        <w:t>第三条</w:t>
      </w:r>
      <w:r>
        <w:rPr>
          <w:color w:val="333333"/>
        </w:rPr>
        <w:t>  </w:t>
      </w:r>
      <w:r>
        <w:rPr>
          <w:rFonts w:hint="eastAsia"/>
          <w:color w:val="333333"/>
        </w:rPr>
        <w:t>投标报价成本评审由评标委员会经济类专家组织实施。评标委员会应将成本评审过程中，认定投标人以低于成本报价竞争等情况作出详细说明并记录在案。评标委员会成员无法形成一致意见时，应当按照少数服从多数的原则进行表决并予记录。</w:t>
      </w:r>
    </w:p>
    <w:p>
      <w:pPr>
        <w:pStyle w:val="2"/>
        <w:spacing w:line="480" w:lineRule="auto"/>
        <w:ind w:firstLine="480"/>
        <w:jc w:val="both"/>
        <w:rPr>
          <w:color w:val="333333"/>
        </w:rPr>
      </w:pPr>
      <w:r>
        <w:rPr>
          <w:rFonts w:hint="eastAsia"/>
          <w:b/>
          <w:bCs/>
          <w:color w:val="333333"/>
        </w:rPr>
        <w:t>第四条</w:t>
      </w:r>
      <w:r>
        <w:rPr>
          <w:color w:val="333333"/>
        </w:rPr>
        <w:t>  </w:t>
      </w:r>
      <w:r>
        <w:rPr>
          <w:rFonts w:hint="eastAsia"/>
          <w:color w:val="333333"/>
        </w:rPr>
        <w:t>招标人应当公布工程量清单和最高投标限价，并对其准确性和完整性负责。招标人不得对所编制的最高投标限价上浮或下调。公布的最高投标限价应当至少载明下列内容：</w:t>
      </w:r>
    </w:p>
    <w:p>
      <w:pPr>
        <w:pStyle w:val="2"/>
        <w:spacing w:line="480" w:lineRule="auto"/>
        <w:ind w:firstLine="480"/>
        <w:jc w:val="both"/>
        <w:rPr>
          <w:color w:val="333333"/>
        </w:rPr>
      </w:pPr>
      <w:r>
        <w:rPr>
          <w:rFonts w:hint="eastAsia"/>
          <w:color w:val="333333"/>
        </w:rPr>
        <w:t>（一）最高投标限价的总价；</w:t>
      </w:r>
    </w:p>
    <w:p>
      <w:pPr>
        <w:pStyle w:val="2"/>
        <w:spacing w:line="480" w:lineRule="auto"/>
        <w:ind w:firstLine="480"/>
        <w:jc w:val="both"/>
        <w:rPr>
          <w:color w:val="333333"/>
        </w:rPr>
      </w:pPr>
      <w:r>
        <w:rPr>
          <w:rFonts w:hint="eastAsia"/>
          <w:color w:val="333333"/>
        </w:rPr>
        <w:t>（二）安全文明施工费、规费和税金的费率；</w:t>
      </w:r>
    </w:p>
    <w:p>
      <w:pPr>
        <w:pStyle w:val="2"/>
        <w:spacing w:line="480" w:lineRule="auto"/>
        <w:ind w:firstLine="480"/>
        <w:jc w:val="both"/>
        <w:rPr>
          <w:color w:val="333333"/>
        </w:rPr>
      </w:pPr>
      <w:r>
        <w:rPr>
          <w:rFonts w:hint="eastAsia"/>
          <w:color w:val="333333"/>
        </w:rPr>
        <w:t>（三）暂列金额；</w:t>
      </w:r>
    </w:p>
    <w:p>
      <w:pPr>
        <w:pStyle w:val="2"/>
        <w:spacing w:line="480" w:lineRule="auto"/>
        <w:ind w:firstLine="480"/>
        <w:jc w:val="both"/>
        <w:rPr>
          <w:color w:val="333333"/>
        </w:rPr>
      </w:pPr>
      <w:r>
        <w:rPr>
          <w:rFonts w:hint="eastAsia"/>
          <w:color w:val="333333"/>
        </w:rPr>
        <w:t>（四）暂估价；</w:t>
      </w:r>
    </w:p>
    <w:p>
      <w:pPr>
        <w:pStyle w:val="2"/>
        <w:spacing w:line="480" w:lineRule="auto"/>
        <w:ind w:firstLine="480"/>
        <w:jc w:val="both"/>
        <w:rPr>
          <w:color w:val="333333"/>
        </w:rPr>
      </w:pPr>
      <w:r>
        <w:rPr>
          <w:rFonts w:hint="eastAsia"/>
          <w:color w:val="333333"/>
        </w:rPr>
        <w:t>（五）重点评审的工程量清单综合单价（含能计量的措施项目）和材料、设备单价；</w:t>
      </w:r>
    </w:p>
    <w:p>
      <w:pPr>
        <w:pStyle w:val="2"/>
        <w:spacing w:line="480" w:lineRule="auto"/>
        <w:ind w:firstLine="480"/>
        <w:jc w:val="both"/>
        <w:rPr>
          <w:color w:val="333333"/>
        </w:rPr>
      </w:pPr>
      <w:r>
        <w:rPr>
          <w:rFonts w:hint="eastAsia"/>
          <w:color w:val="333333"/>
        </w:rPr>
        <w:t>（六）其它重要信息和数据。</w:t>
      </w:r>
    </w:p>
    <w:p>
      <w:pPr>
        <w:pStyle w:val="2"/>
        <w:spacing w:line="480" w:lineRule="auto"/>
        <w:ind w:firstLine="480"/>
        <w:jc w:val="both"/>
        <w:rPr>
          <w:color w:val="333333"/>
        </w:rPr>
      </w:pPr>
      <w:r>
        <w:rPr>
          <w:rFonts w:hint="eastAsia"/>
          <w:b/>
          <w:bCs/>
          <w:color w:val="333333"/>
        </w:rPr>
        <w:t>第五条</w:t>
      </w:r>
      <w:r>
        <w:rPr>
          <w:color w:val="333333"/>
        </w:rPr>
        <w:t>  </w:t>
      </w:r>
      <w:r>
        <w:rPr>
          <w:rFonts w:hint="eastAsia"/>
          <w:color w:val="333333"/>
        </w:rPr>
        <w:t>重点评审的工程量清单综合单价（含能计量的措施项目）和材料、设备单价（以下简称“重点评审单价”）由招标人委托工程造价咨询机构从危险性较大、直接影响工程实体质量、占最高投标限价总价比重较大的分部分项工程和能计量的措施项目以及材料、设备中选取，并采用单独列表方式公布其最高投标限价。</w:t>
      </w:r>
    </w:p>
    <w:p>
      <w:pPr>
        <w:pStyle w:val="2"/>
        <w:spacing w:line="480" w:lineRule="auto"/>
        <w:ind w:firstLine="480"/>
        <w:jc w:val="both"/>
        <w:rPr>
          <w:color w:val="333333"/>
        </w:rPr>
      </w:pPr>
      <w:r>
        <w:rPr>
          <w:rFonts w:hint="eastAsia"/>
          <w:color w:val="333333"/>
        </w:rPr>
        <w:t>重点评审单价中，工程量清单综合单价一般为</w:t>
      </w:r>
      <w:r>
        <w:rPr>
          <w:color w:val="333333"/>
        </w:rPr>
        <w:t>20</w:t>
      </w:r>
      <w:r>
        <w:rPr>
          <w:rFonts w:hint="eastAsia"/>
          <w:color w:val="333333"/>
        </w:rPr>
        <w:t>项，且其对应的合价之和不超过最高投标限价总价的</w:t>
      </w:r>
      <w:r>
        <w:rPr>
          <w:color w:val="333333"/>
        </w:rPr>
        <w:t>30%</w:t>
      </w:r>
      <w:r>
        <w:rPr>
          <w:rFonts w:hint="eastAsia"/>
          <w:color w:val="333333"/>
        </w:rPr>
        <w:t>；材料、设备单价一般为</w:t>
      </w:r>
      <w:r>
        <w:rPr>
          <w:color w:val="333333"/>
        </w:rPr>
        <w:t>15</w:t>
      </w:r>
      <w:r>
        <w:rPr>
          <w:rFonts w:hint="eastAsia"/>
          <w:color w:val="333333"/>
        </w:rPr>
        <w:t>项。</w:t>
      </w:r>
    </w:p>
    <w:p>
      <w:pPr>
        <w:pStyle w:val="2"/>
        <w:spacing w:line="480" w:lineRule="auto"/>
        <w:ind w:firstLine="480"/>
        <w:jc w:val="both"/>
        <w:rPr>
          <w:color w:val="333333"/>
        </w:rPr>
      </w:pPr>
      <w:r>
        <w:rPr>
          <w:rFonts w:hint="eastAsia"/>
          <w:b/>
          <w:bCs/>
          <w:color w:val="333333"/>
        </w:rPr>
        <w:t>第六条</w:t>
      </w:r>
      <w:r>
        <w:rPr>
          <w:color w:val="333333"/>
        </w:rPr>
        <w:t>  </w:t>
      </w:r>
      <w:r>
        <w:rPr>
          <w:rFonts w:hint="eastAsia"/>
          <w:color w:val="333333"/>
        </w:rPr>
        <w:t>招标人应当在招标文件中明确重点评审单价的评审标准。重点评审单价中，任意一项低于评审标准的，应当认定该投标人以低于成本报价竞争，否决其投标。</w:t>
      </w:r>
    </w:p>
    <w:p>
      <w:pPr>
        <w:pStyle w:val="2"/>
        <w:spacing w:line="480" w:lineRule="auto"/>
        <w:ind w:firstLine="480"/>
        <w:jc w:val="both"/>
        <w:rPr>
          <w:color w:val="333333"/>
        </w:rPr>
      </w:pPr>
      <w:r>
        <w:rPr>
          <w:rFonts w:hint="eastAsia"/>
          <w:color w:val="333333"/>
        </w:rPr>
        <w:t>评审标准的具体取值应当符合以下要求：</w:t>
      </w:r>
    </w:p>
    <w:p>
      <w:pPr>
        <w:pStyle w:val="2"/>
        <w:spacing w:line="480" w:lineRule="auto"/>
        <w:ind w:firstLine="480"/>
        <w:jc w:val="both"/>
        <w:rPr>
          <w:color w:val="333333"/>
        </w:rPr>
      </w:pPr>
      <w:r>
        <w:rPr>
          <w:rFonts w:hint="eastAsia"/>
          <w:color w:val="333333"/>
        </w:rPr>
        <w:t>（一）房屋建筑总承包工程为最高投标限价的</w:t>
      </w:r>
      <w:r>
        <w:rPr>
          <w:color w:val="333333"/>
        </w:rPr>
        <w:t>90%</w:t>
      </w:r>
      <w:r>
        <w:rPr>
          <w:rFonts w:hint="eastAsia"/>
          <w:color w:val="333333"/>
        </w:rPr>
        <w:t>以上</w:t>
      </w:r>
      <w:r>
        <w:rPr>
          <w:color w:val="333333"/>
        </w:rPr>
        <w:t>92%</w:t>
      </w:r>
      <w:r>
        <w:rPr>
          <w:rFonts w:hint="eastAsia"/>
          <w:color w:val="333333"/>
        </w:rPr>
        <w:t>以下，其中含有装配式建筑的，为</w:t>
      </w:r>
      <w:r>
        <w:rPr>
          <w:color w:val="333333"/>
        </w:rPr>
        <w:t>92%</w:t>
      </w:r>
      <w:r>
        <w:rPr>
          <w:rFonts w:hint="eastAsia"/>
          <w:color w:val="333333"/>
        </w:rPr>
        <w:t>以上</w:t>
      </w:r>
      <w:r>
        <w:rPr>
          <w:color w:val="333333"/>
        </w:rPr>
        <w:t>94%</w:t>
      </w:r>
      <w:r>
        <w:rPr>
          <w:rFonts w:hint="eastAsia"/>
          <w:color w:val="333333"/>
        </w:rPr>
        <w:t>以下；</w:t>
      </w:r>
    </w:p>
    <w:p>
      <w:pPr>
        <w:pStyle w:val="2"/>
        <w:spacing w:line="480" w:lineRule="auto"/>
        <w:ind w:firstLine="480"/>
        <w:jc w:val="both"/>
        <w:rPr>
          <w:color w:val="333333"/>
        </w:rPr>
      </w:pPr>
      <w:r>
        <w:rPr>
          <w:rFonts w:hint="eastAsia"/>
          <w:color w:val="333333"/>
        </w:rPr>
        <w:t>（二）市政基础设施总承包工程（轨道交通工程除外）为最高投标限价的</w:t>
      </w:r>
      <w:r>
        <w:rPr>
          <w:color w:val="333333"/>
        </w:rPr>
        <w:t>85%</w:t>
      </w:r>
      <w:r>
        <w:rPr>
          <w:rFonts w:hint="eastAsia"/>
          <w:color w:val="333333"/>
        </w:rPr>
        <w:t>以上</w:t>
      </w:r>
      <w:r>
        <w:rPr>
          <w:color w:val="333333"/>
        </w:rPr>
        <w:t>87%</w:t>
      </w:r>
      <w:r>
        <w:rPr>
          <w:rFonts w:hint="eastAsia"/>
          <w:color w:val="333333"/>
        </w:rPr>
        <w:t>以下；</w:t>
      </w:r>
    </w:p>
    <w:p>
      <w:pPr>
        <w:pStyle w:val="2"/>
        <w:spacing w:line="480" w:lineRule="auto"/>
        <w:ind w:firstLine="480"/>
        <w:jc w:val="both"/>
        <w:rPr>
          <w:color w:val="333333"/>
        </w:rPr>
      </w:pPr>
      <w:r>
        <w:rPr>
          <w:rFonts w:hint="eastAsia"/>
          <w:color w:val="333333"/>
        </w:rPr>
        <w:t>（三）轨道交通工程为最高投标限价的</w:t>
      </w:r>
      <w:r>
        <w:rPr>
          <w:color w:val="333333"/>
        </w:rPr>
        <w:t>88%</w:t>
      </w:r>
      <w:r>
        <w:rPr>
          <w:rFonts w:hint="eastAsia"/>
          <w:color w:val="333333"/>
        </w:rPr>
        <w:t>以上</w:t>
      </w:r>
      <w:r>
        <w:rPr>
          <w:color w:val="333333"/>
        </w:rPr>
        <w:t>90%</w:t>
      </w:r>
      <w:r>
        <w:rPr>
          <w:rFonts w:hint="eastAsia"/>
          <w:color w:val="333333"/>
        </w:rPr>
        <w:t>以下；</w:t>
      </w:r>
    </w:p>
    <w:p>
      <w:pPr>
        <w:pStyle w:val="2"/>
        <w:spacing w:line="480" w:lineRule="auto"/>
        <w:ind w:firstLine="480"/>
        <w:jc w:val="both"/>
        <w:rPr>
          <w:color w:val="333333"/>
        </w:rPr>
      </w:pPr>
      <w:r>
        <w:rPr>
          <w:rFonts w:hint="eastAsia"/>
          <w:color w:val="333333"/>
        </w:rPr>
        <w:t>（四）单独招标的装饰装修工程为最高投标限价的</w:t>
      </w:r>
      <w:r>
        <w:rPr>
          <w:color w:val="333333"/>
        </w:rPr>
        <w:t>92%</w:t>
      </w:r>
      <w:r>
        <w:rPr>
          <w:rFonts w:hint="eastAsia"/>
          <w:color w:val="333333"/>
        </w:rPr>
        <w:t>以上</w:t>
      </w:r>
      <w:r>
        <w:rPr>
          <w:color w:val="333333"/>
        </w:rPr>
        <w:t>94%</w:t>
      </w:r>
      <w:r>
        <w:rPr>
          <w:rFonts w:hint="eastAsia"/>
          <w:color w:val="333333"/>
        </w:rPr>
        <w:t>以下；</w:t>
      </w:r>
    </w:p>
    <w:p>
      <w:pPr>
        <w:pStyle w:val="2"/>
        <w:spacing w:line="480" w:lineRule="auto"/>
        <w:ind w:firstLine="480"/>
        <w:jc w:val="both"/>
        <w:rPr>
          <w:color w:val="333333"/>
        </w:rPr>
      </w:pPr>
      <w:r>
        <w:rPr>
          <w:rFonts w:hint="eastAsia"/>
          <w:color w:val="333333"/>
        </w:rPr>
        <w:t>（五）单独招标的园林景观绿化工程、仿古建筑工程为最高投标限价的</w:t>
      </w:r>
      <w:r>
        <w:rPr>
          <w:color w:val="333333"/>
        </w:rPr>
        <w:t>88%</w:t>
      </w:r>
      <w:r>
        <w:rPr>
          <w:rFonts w:hint="eastAsia"/>
          <w:color w:val="333333"/>
        </w:rPr>
        <w:t>以上</w:t>
      </w:r>
      <w:r>
        <w:rPr>
          <w:color w:val="333333"/>
        </w:rPr>
        <w:t>90%</w:t>
      </w:r>
      <w:r>
        <w:rPr>
          <w:rFonts w:hint="eastAsia"/>
          <w:color w:val="333333"/>
        </w:rPr>
        <w:t>以下；</w:t>
      </w:r>
    </w:p>
    <w:p>
      <w:pPr>
        <w:pStyle w:val="2"/>
        <w:spacing w:line="480" w:lineRule="auto"/>
        <w:ind w:firstLine="480"/>
        <w:jc w:val="both"/>
        <w:rPr>
          <w:color w:val="333333"/>
        </w:rPr>
      </w:pPr>
      <w:r>
        <w:rPr>
          <w:rFonts w:hint="eastAsia"/>
          <w:color w:val="333333"/>
        </w:rPr>
        <w:t>（六）单独招标的安装工程为最高投标限价的</w:t>
      </w:r>
      <w:r>
        <w:rPr>
          <w:color w:val="333333"/>
        </w:rPr>
        <w:t>90%</w:t>
      </w:r>
      <w:r>
        <w:rPr>
          <w:rFonts w:hint="eastAsia"/>
          <w:color w:val="333333"/>
        </w:rPr>
        <w:t>以上</w:t>
      </w:r>
      <w:r>
        <w:rPr>
          <w:color w:val="333333"/>
        </w:rPr>
        <w:t>92%</w:t>
      </w:r>
      <w:r>
        <w:rPr>
          <w:rFonts w:hint="eastAsia"/>
          <w:color w:val="333333"/>
        </w:rPr>
        <w:t>以下。</w:t>
      </w:r>
    </w:p>
    <w:p>
      <w:pPr>
        <w:pStyle w:val="2"/>
        <w:spacing w:line="480" w:lineRule="auto"/>
        <w:ind w:firstLine="480"/>
        <w:jc w:val="both"/>
        <w:rPr>
          <w:color w:val="333333"/>
        </w:rPr>
      </w:pPr>
      <w:r>
        <w:rPr>
          <w:rFonts w:hint="eastAsia"/>
          <w:b/>
          <w:bCs/>
          <w:color w:val="333333"/>
        </w:rPr>
        <w:t>第七条</w:t>
      </w:r>
      <w:r>
        <w:rPr>
          <w:b/>
          <w:bCs/>
          <w:color w:val="333333"/>
        </w:rPr>
        <w:t> </w:t>
      </w:r>
      <w:r>
        <w:rPr>
          <w:color w:val="333333"/>
        </w:rPr>
        <w:t> </w:t>
      </w:r>
      <w:r>
        <w:rPr>
          <w:rFonts w:hint="eastAsia"/>
          <w:color w:val="333333"/>
        </w:rPr>
        <w:t>采用综合评估法评标的，投标总报价小于基准价</w:t>
      </w:r>
      <w:r>
        <w:rPr>
          <w:color w:val="333333"/>
        </w:rPr>
        <w:t>92%</w:t>
      </w:r>
      <w:r>
        <w:rPr>
          <w:rFonts w:hint="eastAsia"/>
          <w:color w:val="333333"/>
        </w:rPr>
        <w:t>的，视为以低于成本报价竞争，该投标人报价为无效报价，应当否决其投标。</w:t>
      </w:r>
    </w:p>
    <w:p>
      <w:pPr>
        <w:pStyle w:val="2"/>
        <w:spacing w:line="480" w:lineRule="auto"/>
        <w:ind w:firstLine="480"/>
        <w:jc w:val="both"/>
        <w:rPr>
          <w:color w:val="333333"/>
        </w:rPr>
      </w:pPr>
      <w:r>
        <w:rPr>
          <w:rFonts w:hint="eastAsia"/>
          <w:b/>
          <w:bCs/>
          <w:color w:val="333333"/>
        </w:rPr>
        <w:t>第八条</w:t>
      </w:r>
      <w:r>
        <w:rPr>
          <w:b/>
          <w:bCs/>
          <w:color w:val="333333"/>
        </w:rPr>
        <w:t> </w:t>
      </w:r>
      <w:r>
        <w:rPr>
          <w:color w:val="333333"/>
        </w:rPr>
        <w:t> </w:t>
      </w:r>
      <w:r>
        <w:rPr>
          <w:rFonts w:hint="eastAsia"/>
          <w:color w:val="333333"/>
        </w:rPr>
        <w:t>本办法所称的“以下”、“以上”均含本数。</w:t>
      </w:r>
    </w:p>
    <w:p>
      <w:pPr>
        <w:pStyle w:val="2"/>
        <w:spacing w:line="480" w:lineRule="auto"/>
        <w:ind w:firstLine="480"/>
        <w:jc w:val="both"/>
        <w:rPr>
          <w:color w:val="333333"/>
        </w:rPr>
      </w:pPr>
      <w:r>
        <w:rPr>
          <w:rFonts w:hint="eastAsia"/>
          <w:b/>
          <w:bCs/>
          <w:color w:val="333333"/>
        </w:rPr>
        <w:t>第九条</w:t>
      </w:r>
      <w:r>
        <w:rPr>
          <w:color w:val="333333"/>
        </w:rPr>
        <w:t>  </w:t>
      </w:r>
      <w:r>
        <w:rPr>
          <w:rFonts w:hint="eastAsia"/>
          <w:color w:val="333333"/>
        </w:rPr>
        <w:t>本办法自</w:t>
      </w:r>
      <w:r>
        <w:rPr>
          <w:color w:val="333333"/>
        </w:rPr>
        <w:t>2019</w:t>
      </w:r>
      <w:r>
        <w:rPr>
          <w:rFonts w:hint="eastAsia"/>
          <w:color w:val="333333"/>
        </w:rPr>
        <w:t>年</w:t>
      </w:r>
      <w:r>
        <w:rPr>
          <w:color w:val="333333"/>
        </w:rPr>
        <w:t>1</w:t>
      </w:r>
      <w:r>
        <w:rPr>
          <w:rFonts w:hint="eastAsia"/>
          <w:color w:val="333333"/>
        </w:rPr>
        <w:t>月</w:t>
      </w:r>
      <w:r>
        <w:rPr>
          <w:color w:val="333333"/>
        </w:rPr>
        <w:t>1</w:t>
      </w:r>
      <w:r>
        <w:rPr>
          <w:rFonts w:hint="eastAsia"/>
          <w:color w:val="333333"/>
        </w:rPr>
        <w:t>日起施行，有效期至</w:t>
      </w:r>
      <w:r>
        <w:rPr>
          <w:color w:val="333333"/>
        </w:rPr>
        <w:t>2020</w:t>
      </w:r>
      <w:r>
        <w:rPr>
          <w:rFonts w:hint="eastAsia"/>
          <w:color w:val="333333"/>
        </w:rPr>
        <w:t>年</w:t>
      </w:r>
      <w:r>
        <w:rPr>
          <w:color w:val="333333"/>
        </w:rPr>
        <w:t>12</w:t>
      </w:r>
      <w:r>
        <w:rPr>
          <w:rFonts w:hint="eastAsia"/>
          <w:color w:val="333333"/>
        </w:rPr>
        <w:t>月</w:t>
      </w:r>
      <w:r>
        <w:rPr>
          <w:color w:val="333333"/>
        </w:rPr>
        <w:t>31</w:t>
      </w:r>
      <w:r>
        <w:rPr>
          <w:rFonts w:hint="eastAsia"/>
          <w:color w:val="333333"/>
        </w:rPr>
        <w:t>日止。</w:t>
      </w:r>
    </w:p>
    <w:p>
      <w:pPr>
        <w:spacing w:line="220" w:lineRule="atLeast"/>
      </w:pPr>
    </w:p>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E3A9F"/>
    <w:rsid w:val="22BE3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val="0"/>
      <w:adjustRightInd/>
      <w:snapToGrid/>
      <w:spacing w:before="100" w:beforeAutospacing="1" w:after="100" w:afterAutospacing="1"/>
    </w:pPr>
    <w:rPr>
      <w:rFonts w:cs="Times New Roman" w:asciiTheme="minorHAnsi" w:hAnsiTheme="minorHAnsi" w:eastAsiaTheme="minorEastAsia"/>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2018-09-19T07:40:00Z</dcterms:created>
  <dc:creator>Angelづ゜</dc:creator>
  <cp:lastModifiedBy>Angelづ゜</cp:lastModifiedBy>
  <dcterms:modified xsi:type="dcterms:W3CDTF">2018-09-19T07:41:26Z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